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38" w:rsidRDefault="004A337A" w:rsidP="00E72E9B">
      <w:pPr>
        <w:jc w:val="center"/>
        <w:rPr>
          <w:b/>
        </w:rPr>
      </w:pPr>
      <w:r>
        <w:rPr>
          <w:b/>
        </w:rPr>
        <w:t xml:space="preserve">Tip </w:t>
      </w:r>
      <w:r w:rsidR="008A16D5">
        <w:rPr>
          <w:b/>
        </w:rPr>
        <w:t>for</w:t>
      </w:r>
      <w:r>
        <w:rPr>
          <w:b/>
        </w:rPr>
        <w:t xml:space="preserve"> d</w:t>
      </w:r>
      <w:r w:rsidR="00164538">
        <w:rPr>
          <w:b/>
        </w:rPr>
        <w:t xml:space="preserve">ata extraction in meta-analysis </w:t>
      </w:r>
      <w:r>
        <w:rPr>
          <w:b/>
        </w:rPr>
        <w:t xml:space="preserve">- </w:t>
      </w:r>
      <w:r w:rsidR="00E72E9B">
        <w:rPr>
          <w:b/>
        </w:rPr>
        <w:t>20</w:t>
      </w:r>
    </w:p>
    <w:p w:rsidR="002C35B6" w:rsidRDefault="009F6C23" w:rsidP="009F6C23">
      <w:pPr>
        <w:jc w:val="center"/>
      </w:pPr>
      <w:r>
        <w:rPr>
          <w:noProof/>
          <w:lang w:eastAsia="en-GB"/>
        </w:rPr>
        <w:drawing>
          <wp:inline distT="0" distB="0" distL="0" distR="0" wp14:anchorId="336936E2" wp14:editId="666B43CE">
            <wp:extent cx="3483893" cy="1722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877" cy="17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C23" w:rsidRPr="00E72E9B" w:rsidRDefault="009F6C23" w:rsidP="009F6C23">
      <w:pPr>
        <w:rPr>
          <w:b/>
        </w:rPr>
      </w:pPr>
      <w:r w:rsidRPr="00E72E9B">
        <w:rPr>
          <w:b/>
        </w:rPr>
        <w:t xml:space="preserve">What </w:t>
      </w:r>
      <w:r w:rsidR="0075048B" w:rsidRPr="00E72E9B">
        <w:rPr>
          <w:b/>
        </w:rPr>
        <w:t xml:space="preserve">if </w:t>
      </w:r>
      <w:r w:rsidR="0090433E" w:rsidRPr="00E72E9B">
        <w:rPr>
          <w:b/>
        </w:rPr>
        <w:t>neither</w:t>
      </w:r>
      <w:r w:rsidR="004D57AE" w:rsidRPr="00E72E9B">
        <w:rPr>
          <w:b/>
        </w:rPr>
        <w:t xml:space="preserve"> </w:t>
      </w:r>
      <w:r w:rsidRPr="00E72E9B">
        <w:rPr>
          <w:b/>
        </w:rPr>
        <w:t xml:space="preserve">sensitivity </w:t>
      </w:r>
      <w:r w:rsidR="0090433E" w:rsidRPr="00E72E9B">
        <w:rPr>
          <w:b/>
        </w:rPr>
        <w:t>nor</w:t>
      </w:r>
      <w:r w:rsidRPr="00E72E9B">
        <w:rPr>
          <w:b/>
        </w:rPr>
        <w:t xml:space="preserve"> specificity </w:t>
      </w:r>
      <w:r w:rsidR="0074024E" w:rsidRPr="00E72E9B">
        <w:rPr>
          <w:b/>
        </w:rPr>
        <w:t xml:space="preserve">are </w:t>
      </w:r>
      <w:r w:rsidR="0090433E" w:rsidRPr="00E72E9B">
        <w:rPr>
          <w:b/>
        </w:rPr>
        <w:t>r</w:t>
      </w:r>
      <w:r w:rsidRPr="00E72E9B">
        <w:rPr>
          <w:b/>
        </w:rPr>
        <w:t>eported?</w:t>
      </w:r>
    </w:p>
    <w:p w:rsidR="009F6C23" w:rsidRPr="00E72E9B" w:rsidRDefault="009F6C23" w:rsidP="009F6C23">
      <w:pPr>
        <w:rPr>
          <w:i/>
        </w:rPr>
      </w:pPr>
      <w:r w:rsidRPr="00E72E9B">
        <w:rPr>
          <w:i/>
        </w:rPr>
        <w:t>Kathy Taylor</w:t>
      </w:r>
    </w:p>
    <w:p w:rsidR="008819F7" w:rsidRDefault="008819F7" w:rsidP="008758B4"/>
    <w:p w:rsidR="00D82F2C" w:rsidRDefault="0090433E" w:rsidP="0090433E">
      <w:r>
        <w:t xml:space="preserve">In this post I return briefly </w:t>
      </w:r>
      <w:r w:rsidR="00E66B39">
        <w:t>to data extraction problems in diagnostic accuracy studies</w:t>
      </w:r>
      <w:r w:rsidR="00E469E9">
        <w:t>,</w:t>
      </w:r>
      <w:r w:rsidR="00E66B39">
        <w:t xml:space="preserve"> </w:t>
      </w:r>
      <w:r>
        <w:t xml:space="preserve">as </w:t>
      </w:r>
      <w:r w:rsidR="000B0AEC">
        <w:t xml:space="preserve">there’s another situation that </w:t>
      </w:r>
      <w:r w:rsidR="00D46DA4">
        <w:t>I’ve not covered</w:t>
      </w:r>
      <w:r w:rsidR="00690B8B">
        <w:t>.</w:t>
      </w:r>
    </w:p>
    <w:p w:rsidR="00D82F2C" w:rsidRDefault="00D82F2C" w:rsidP="0090433E"/>
    <w:p w:rsidR="0090433E" w:rsidRDefault="00E94110" w:rsidP="0090433E">
      <w:hyperlink r:id="rId7" w:history="1">
        <w:r w:rsidR="0090433E">
          <w:rPr>
            <w:rStyle w:val="Hyperlink"/>
          </w:rPr>
          <w:t>Previously</w:t>
        </w:r>
      </w:hyperlink>
      <w:r w:rsidR="00A33749">
        <w:t xml:space="preserve"> </w:t>
      </w:r>
      <w:r w:rsidR="0003161B">
        <w:t xml:space="preserve">I </w:t>
      </w:r>
      <w:r w:rsidR="0046759A">
        <w:t xml:space="preserve">showed how to derive </w:t>
      </w:r>
      <w:r w:rsidR="00690B8B">
        <w:t xml:space="preserve">the 2x2 diagnostic accuracy table </w:t>
      </w:r>
      <w:r w:rsidR="0046759A">
        <w:t xml:space="preserve">from </w:t>
      </w:r>
      <w:r w:rsidR="0003161B">
        <w:t>the reported sensitivity, specificity, prevalence and study size</w:t>
      </w:r>
      <w:r w:rsidR="0090433E">
        <w:t xml:space="preserve"> (total)</w:t>
      </w:r>
      <w:r w:rsidR="0003161B">
        <w:t xml:space="preserve">. </w:t>
      </w:r>
      <w:hyperlink r:id="rId8" w:history="1">
        <w:r w:rsidR="003F2338" w:rsidRPr="005C30F9">
          <w:rPr>
            <w:rStyle w:val="Hyperlink"/>
          </w:rPr>
          <w:t>Then</w:t>
        </w:r>
      </w:hyperlink>
      <w:r w:rsidR="003F2338">
        <w:t xml:space="preserve"> </w:t>
      </w:r>
      <w:r w:rsidR="0003161B">
        <w:t xml:space="preserve">I showed how, if the prevalence is </w:t>
      </w:r>
      <w:r w:rsidR="00C866A5">
        <w:t xml:space="preserve">also </w:t>
      </w:r>
      <w:r w:rsidR="0003161B">
        <w:t xml:space="preserve">not reported, it could be calculated </w:t>
      </w:r>
      <w:r w:rsidR="00E5694E">
        <w:t>from</w:t>
      </w:r>
      <w:r w:rsidR="00E66B39">
        <w:t xml:space="preserve"> th</w:t>
      </w:r>
      <w:r w:rsidR="0046759A">
        <w:t xml:space="preserve">e </w:t>
      </w:r>
      <w:r w:rsidR="0090433E">
        <w:t>number with the disease</w:t>
      </w:r>
      <w:r w:rsidR="00E5694E">
        <w:t xml:space="preserve"> and</w:t>
      </w:r>
      <w:r w:rsidR="0090433E">
        <w:t xml:space="preserve"> </w:t>
      </w:r>
      <w:r w:rsidR="0046759A">
        <w:t xml:space="preserve">the </w:t>
      </w:r>
      <w:r w:rsidR="0003161B">
        <w:t>positive predictive value</w:t>
      </w:r>
      <w:r w:rsidR="0046759A">
        <w:t xml:space="preserve"> (PPV)</w:t>
      </w:r>
      <w:r w:rsidR="0047759D">
        <w:t xml:space="preserve"> or</w:t>
      </w:r>
      <w:r w:rsidR="0003161B">
        <w:t xml:space="preserve"> the negative predictive value</w:t>
      </w:r>
      <w:r w:rsidR="0046759A">
        <w:t xml:space="preserve"> (NPV</w:t>
      </w:r>
      <w:r w:rsidR="00285A6D">
        <w:t>)</w:t>
      </w:r>
      <w:r w:rsidR="0003161B">
        <w:t xml:space="preserve">. </w:t>
      </w:r>
      <w:hyperlink r:id="rId9" w:history="1">
        <w:r w:rsidR="00E66B39" w:rsidRPr="00D82F2C">
          <w:rPr>
            <w:rStyle w:val="Hyperlink"/>
          </w:rPr>
          <w:t>Then</w:t>
        </w:r>
      </w:hyperlink>
      <w:r w:rsidR="00D82F2C">
        <w:t xml:space="preserve"> </w:t>
      </w:r>
      <w:r w:rsidR="00E66B39">
        <w:t xml:space="preserve">I </w:t>
      </w:r>
      <w:r w:rsidR="00015801">
        <w:t xml:space="preserve">looked at </w:t>
      </w:r>
      <w:r w:rsidR="00E66B39">
        <w:t>the less common case where either the</w:t>
      </w:r>
      <w:r w:rsidR="002C35B6">
        <w:t xml:space="preserve"> sensitivity or </w:t>
      </w:r>
      <w:r w:rsidR="00015801">
        <w:t xml:space="preserve">the </w:t>
      </w:r>
      <w:r w:rsidR="002C35B6">
        <w:t>specificity is not reported</w:t>
      </w:r>
      <w:r w:rsidR="00E66B39">
        <w:t xml:space="preserve"> and</w:t>
      </w:r>
      <w:r w:rsidR="00D46DA4">
        <w:t xml:space="preserve"> I</w:t>
      </w:r>
      <w:r w:rsidR="00E66B39">
        <w:t xml:space="preserve"> showed </w:t>
      </w:r>
      <w:r w:rsidR="00015801">
        <w:t>how this problem can be solved using the prevalence, NPV and PPV.</w:t>
      </w:r>
      <w:r w:rsidR="0090433E">
        <w:t xml:space="preserve"> In this post, I’ll look at a rarer case where both sensitivity and specificity </w:t>
      </w:r>
      <w:r w:rsidR="00015801">
        <w:t xml:space="preserve">are </w:t>
      </w:r>
      <w:r w:rsidR="0090433E">
        <w:t>not reported.</w:t>
      </w:r>
    </w:p>
    <w:p w:rsidR="0090433E" w:rsidRDefault="0090433E" w:rsidP="0090433E"/>
    <w:p w:rsidR="0090433E" w:rsidRDefault="0090433E" w:rsidP="0090433E">
      <w:r>
        <w:t>T</w:t>
      </w:r>
      <w:r w:rsidR="00E66B39">
        <w:t xml:space="preserve">o </w:t>
      </w:r>
      <w:r>
        <w:t xml:space="preserve">summarise, </w:t>
      </w:r>
      <w:r w:rsidR="00015801">
        <w:t xml:space="preserve">I’ve shown how </w:t>
      </w:r>
      <w:r>
        <w:t xml:space="preserve">it’s possible to derive </w:t>
      </w:r>
      <w:r w:rsidR="00E469E9">
        <w:t>a</w:t>
      </w:r>
      <w:r>
        <w:t xml:space="preserve"> 2x2 diagnostic accuracy table when the following statistics are reported</w:t>
      </w:r>
      <w:r w:rsidR="00E66B39">
        <w:t>:</w:t>
      </w:r>
    </w:p>
    <w:p w:rsidR="0090433E" w:rsidRDefault="0090433E" w:rsidP="0090433E"/>
    <w:p w:rsidR="00D82F2C" w:rsidRDefault="0090433E" w:rsidP="0090433E">
      <w:r>
        <w:t xml:space="preserve">Total, </w:t>
      </w:r>
      <w:r w:rsidR="002064B0">
        <w:t>p</w:t>
      </w:r>
      <w:r>
        <w:t xml:space="preserve">revalence, </w:t>
      </w:r>
      <w:r w:rsidR="002064B0">
        <w:t>s</w:t>
      </w:r>
      <w:r>
        <w:t xml:space="preserve">ensitivity and </w:t>
      </w:r>
      <w:r w:rsidR="002064B0">
        <w:t>s</w:t>
      </w:r>
      <w:r>
        <w:t>pecificity</w:t>
      </w:r>
      <w:r w:rsidR="00D82F2C">
        <w:t xml:space="preserve">  </w:t>
      </w:r>
    </w:p>
    <w:p w:rsidR="0090433E" w:rsidRDefault="0090433E" w:rsidP="0090433E">
      <w:r>
        <w:t xml:space="preserve">Total, </w:t>
      </w:r>
      <w:r w:rsidR="002064B0">
        <w:t>n</w:t>
      </w:r>
      <w:r>
        <w:t xml:space="preserve">umber with the disease, </w:t>
      </w:r>
      <w:r w:rsidR="002064B0">
        <w:t>s</w:t>
      </w:r>
      <w:r>
        <w:t xml:space="preserve">ensitivity and </w:t>
      </w:r>
      <w:r w:rsidR="002064B0">
        <w:t>s</w:t>
      </w:r>
      <w:r>
        <w:t>pecificity</w:t>
      </w:r>
    </w:p>
    <w:p w:rsidR="00015801" w:rsidRDefault="0090433E" w:rsidP="0090433E">
      <w:r>
        <w:t>Total</w:t>
      </w:r>
      <w:r w:rsidR="00E66B39">
        <w:t xml:space="preserve">, </w:t>
      </w:r>
      <w:r w:rsidR="00E469E9">
        <w:t xml:space="preserve">NPV, </w:t>
      </w:r>
      <w:r w:rsidR="002064B0">
        <w:t>s</w:t>
      </w:r>
      <w:r w:rsidR="00E66B39">
        <w:t>ensitivity</w:t>
      </w:r>
      <w:r w:rsidR="00E469E9">
        <w:t xml:space="preserve"> and</w:t>
      </w:r>
      <w:r w:rsidR="00E66B39">
        <w:t xml:space="preserve"> </w:t>
      </w:r>
      <w:r w:rsidR="002064B0">
        <w:t>s</w:t>
      </w:r>
      <w:r w:rsidR="00E66B39">
        <w:t>pecificity</w:t>
      </w:r>
    </w:p>
    <w:p w:rsidR="0090433E" w:rsidRDefault="00E66B39" w:rsidP="0090433E">
      <w:r>
        <w:t xml:space="preserve">Total, </w:t>
      </w:r>
      <w:r w:rsidR="00E469E9">
        <w:t xml:space="preserve">PPV, </w:t>
      </w:r>
      <w:r w:rsidR="002064B0">
        <w:t>s</w:t>
      </w:r>
      <w:r>
        <w:t>ensitivity</w:t>
      </w:r>
      <w:r w:rsidR="00E469E9">
        <w:t xml:space="preserve"> and</w:t>
      </w:r>
      <w:r>
        <w:t xml:space="preserve"> </w:t>
      </w:r>
      <w:r w:rsidR="002064B0">
        <w:t>s</w:t>
      </w:r>
      <w:r w:rsidR="00E469E9">
        <w:t>pecificity</w:t>
      </w:r>
    </w:p>
    <w:p w:rsidR="00015801" w:rsidRDefault="00015801" w:rsidP="0090433E">
      <w:r>
        <w:t xml:space="preserve">Total, </w:t>
      </w:r>
      <w:r w:rsidR="00E469E9">
        <w:t>prevalence</w:t>
      </w:r>
      <w:r w:rsidR="00E469E9">
        <w:t>,</w:t>
      </w:r>
      <w:r w:rsidR="00E469E9">
        <w:t xml:space="preserve"> </w:t>
      </w:r>
      <w:r w:rsidR="002064B0">
        <w:t>s</w:t>
      </w:r>
      <w:r>
        <w:t>ensitivity</w:t>
      </w:r>
      <w:r w:rsidR="00E469E9">
        <w:t xml:space="preserve"> and</w:t>
      </w:r>
      <w:r>
        <w:t xml:space="preserve"> PP</w:t>
      </w:r>
      <w:r w:rsidR="00E469E9">
        <w:t>V</w:t>
      </w:r>
      <w:r>
        <w:t xml:space="preserve"> </w:t>
      </w:r>
    </w:p>
    <w:p w:rsidR="00015801" w:rsidRDefault="00015801" w:rsidP="0090433E">
      <w:r>
        <w:t xml:space="preserve">Total, </w:t>
      </w:r>
      <w:r w:rsidR="00E469E9">
        <w:t>prevalence</w:t>
      </w:r>
      <w:r w:rsidR="00E469E9">
        <w:t xml:space="preserve">, </w:t>
      </w:r>
      <w:r w:rsidR="002064B0">
        <w:t>s</w:t>
      </w:r>
      <w:r>
        <w:t>pecificity</w:t>
      </w:r>
      <w:r w:rsidR="00E469E9">
        <w:t xml:space="preserve"> and </w:t>
      </w:r>
      <w:r>
        <w:t xml:space="preserve">NPV </w:t>
      </w:r>
    </w:p>
    <w:p w:rsidR="00015801" w:rsidRDefault="00015801" w:rsidP="00015801">
      <w:r>
        <w:t xml:space="preserve">Total, </w:t>
      </w:r>
      <w:r w:rsidR="00E469E9">
        <w:t>number with the disease</w:t>
      </w:r>
      <w:r w:rsidR="00E469E9">
        <w:t>,</w:t>
      </w:r>
      <w:r w:rsidR="00E469E9">
        <w:t xml:space="preserve"> </w:t>
      </w:r>
      <w:r w:rsidR="002064B0">
        <w:t>s</w:t>
      </w:r>
      <w:r>
        <w:t>ensitivity</w:t>
      </w:r>
      <w:r w:rsidR="00E469E9">
        <w:t xml:space="preserve"> and</w:t>
      </w:r>
      <w:r>
        <w:t xml:space="preserve"> PPV </w:t>
      </w:r>
    </w:p>
    <w:p w:rsidR="00015801" w:rsidRDefault="00015801" w:rsidP="00015801">
      <w:r>
        <w:t xml:space="preserve">Total, </w:t>
      </w:r>
      <w:r w:rsidR="00E469E9">
        <w:t>number with the disease</w:t>
      </w:r>
      <w:r w:rsidR="00E469E9">
        <w:t xml:space="preserve">, </w:t>
      </w:r>
      <w:r w:rsidR="002064B0">
        <w:t>s</w:t>
      </w:r>
      <w:r w:rsidR="000B36FD">
        <w:t>pecificity</w:t>
      </w:r>
      <w:r w:rsidR="00E469E9">
        <w:t xml:space="preserve"> and</w:t>
      </w:r>
      <w:r w:rsidR="000B36FD">
        <w:t xml:space="preserve"> NPV </w:t>
      </w:r>
    </w:p>
    <w:p w:rsidR="00015801" w:rsidRDefault="00015801" w:rsidP="00015801"/>
    <w:p w:rsidR="000B0AEC" w:rsidRDefault="00015801" w:rsidP="00015801">
      <w:r>
        <w:t>In this post</w:t>
      </w:r>
      <w:r w:rsidR="00E5694E">
        <w:t>, to the above list,</w:t>
      </w:r>
      <w:r>
        <w:t xml:space="preserve"> I’m going </w:t>
      </w:r>
      <w:r w:rsidR="00D46DA4">
        <w:t>to add the following</w:t>
      </w:r>
    </w:p>
    <w:p w:rsidR="00015801" w:rsidRPr="00015801" w:rsidRDefault="000B36FD" w:rsidP="00015801">
      <w:pPr>
        <w:rPr>
          <w:color w:val="FF0000"/>
        </w:rPr>
      </w:pPr>
      <w:r>
        <w:rPr>
          <w:color w:val="FF0000"/>
        </w:rPr>
        <w:t xml:space="preserve">Total, </w:t>
      </w:r>
      <w:r w:rsidR="00E469E9">
        <w:rPr>
          <w:color w:val="FF0000"/>
        </w:rPr>
        <w:t>p</w:t>
      </w:r>
      <w:r w:rsidR="00E469E9" w:rsidRPr="00015801">
        <w:rPr>
          <w:color w:val="FF0000"/>
        </w:rPr>
        <w:t>revalence</w:t>
      </w:r>
      <w:r w:rsidR="00E469E9">
        <w:rPr>
          <w:color w:val="FF0000"/>
        </w:rPr>
        <w:t xml:space="preserve">, </w:t>
      </w:r>
      <w:r>
        <w:rPr>
          <w:color w:val="FF0000"/>
        </w:rPr>
        <w:t>PPV</w:t>
      </w:r>
      <w:r w:rsidR="00E469E9">
        <w:rPr>
          <w:color w:val="FF0000"/>
        </w:rPr>
        <w:t xml:space="preserve"> and</w:t>
      </w:r>
      <w:r>
        <w:rPr>
          <w:color w:val="FF0000"/>
        </w:rPr>
        <w:t xml:space="preserve"> NPV </w:t>
      </w:r>
    </w:p>
    <w:p w:rsidR="00015801" w:rsidRPr="00015801" w:rsidRDefault="00015801" w:rsidP="00015801">
      <w:pPr>
        <w:rPr>
          <w:color w:val="FF0000"/>
        </w:rPr>
      </w:pPr>
      <w:r w:rsidRPr="00015801">
        <w:rPr>
          <w:color w:val="FF0000"/>
        </w:rPr>
        <w:t xml:space="preserve">Total, </w:t>
      </w:r>
      <w:r w:rsidR="00E469E9">
        <w:rPr>
          <w:color w:val="FF0000"/>
        </w:rPr>
        <w:t>n</w:t>
      </w:r>
      <w:r w:rsidR="00E469E9" w:rsidRPr="00015801">
        <w:rPr>
          <w:color w:val="FF0000"/>
        </w:rPr>
        <w:t>umber with the disease</w:t>
      </w:r>
      <w:r w:rsidR="00E469E9">
        <w:rPr>
          <w:color w:val="FF0000"/>
        </w:rPr>
        <w:t>,</w:t>
      </w:r>
      <w:r w:rsidR="00E469E9" w:rsidRPr="00015801">
        <w:rPr>
          <w:color w:val="FF0000"/>
        </w:rPr>
        <w:t xml:space="preserve"> </w:t>
      </w:r>
      <w:r w:rsidRPr="00015801">
        <w:rPr>
          <w:color w:val="FF0000"/>
        </w:rPr>
        <w:t>PPV</w:t>
      </w:r>
      <w:r w:rsidR="00E469E9">
        <w:rPr>
          <w:color w:val="FF0000"/>
        </w:rPr>
        <w:t xml:space="preserve"> and</w:t>
      </w:r>
      <w:r w:rsidRPr="00015801">
        <w:rPr>
          <w:color w:val="FF0000"/>
        </w:rPr>
        <w:t xml:space="preserve"> NPV</w:t>
      </w:r>
    </w:p>
    <w:p w:rsidR="00015801" w:rsidRDefault="00015801" w:rsidP="00015801"/>
    <w:p w:rsidR="0047759D" w:rsidRDefault="0047759D" w:rsidP="0047759D">
      <w:r>
        <w:lastRenderedPageBreak/>
        <w:t>A bit of maths (see below if you're interested) shows us</w:t>
      </w:r>
    </w:p>
    <w:p w:rsidR="00D5688E" w:rsidRDefault="00D5688E" w:rsidP="0047759D"/>
    <w:p w:rsidR="00D5688E" w:rsidRPr="00883905" w:rsidRDefault="00D5688E" w:rsidP="00D5688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Sensitivity=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PPV</m:t>
              </m:r>
            </m:num>
            <m:den>
              <m:r>
                <w:rPr>
                  <w:rFonts w:ascii="Cambria Math" w:hAnsi="Cambria Math"/>
                </w:rPr>
                <m:t>Prevalence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1-Prevalence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1-NPV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-NPV Prevalence 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1-PPV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1-NPV</m:t>
                      </m:r>
                    </m:e>
                  </m:d>
                  <m:r>
                    <w:rPr>
                      <w:rFonts w:ascii="Cambria Math" w:hAnsi="Cambria Math"/>
                    </w:rPr>
                    <m:t>-NPV PPV</m:t>
                  </m:r>
                </m:den>
              </m:f>
            </m:e>
          </m:d>
        </m:oMath>
      </m:oMathPara>
    </w:p>
    <w:p w:rsidR="0047759D" w:rsidRDefault="0047759D" w:rsidP="008758B4"/>
    <w:p w:rsidR="0047759D" w:rsidRPr="000B36FD" w:rsidRDefault="00883905" w:rsidP="0047759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Specificity=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NPV Prevalence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1-PPV</m:t>
                  </m:r>
                </m:e>
              </m:d>
              <m:r>
                <w:rPr>
                  <w:rFonts w:ascii="Cambria Math" w:hAnsi="Cambria Math"/>
                </w:rPr>
                <m:t xml:space="preserve"> -PPV NPV(1-Prevalence) 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1-Prevalence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1-NPV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1-PPV</m:t>
                  </m:r>
                </m:e>
              </m:d>
              <m:r>
                <w:rPr>
                  <w:rFonts w:ascii="Cambria Math" w:hAnsi="Cambria Math"/>
                </w:rPr>
                <m:t>-PPV NPV(1-Prevalence)</m:t>
              </m:r>
            </m:den>
          </m:f>
        </m:oMath>
      </m:oMathPara>
    </w:p>
    <w:p w:rsidR="0047759D" w:rsidRDefault="0047759D" w:rsidP="008758B4"/>
    <w:p w:rsidR="00767585" w:rsidRDefault="00767585" w:rsidP="00767585">
      <w:r>
        <w:t xml:space="preserve">Be careful – statistics such as prevalence can be reported as percentages or as decimal fractions.  We're assuming </w:t>
      </w:r>
      <w:r w:rsidR="00E5694E">
        <w:t>that all statistics</w:t>
      </w:r>
      <w:r>
        <w:t xml:space="preserve"> are reported as fractions.</w:t>
      </w:r>
    </w:p>
    <w:p w:rsidR="00D46DA4" w:rsidRDefault="00D46DA4" w:rsidP="00D46DA4"/>
    <w:p w:rsidR="00D46DA4" w:rsidRDefault="00D46DA4" w:rsidP="00D46DA4">
      <w:r>
        <w:t>Let me show you an example. Consider 180 patients of which 100 have a disease and a test correctly identifies 20 patients with the disease and correctly produces a negative test result for 40 of the patients without the disease.</w:t>
      </w:r>
    </w:p>
    <w:p w:rsidR="0074024E" w:rsidRDefault="0074024E" w:rsidP="00D46DA4">
      <w:pPr>
        <w:spacing w:line="240" w:lineRule="auto"/>
      </w:pPr>
    </w:p>
    <w:p w:rsidR="0074024E" w:rsidRDefault="0050071A" w:rsidP="00E94110">
      <w:pPr>
        <w:spacing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74AF2E6F">
            <wp:extent cx="4918761" cy="10542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29" cy="1057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024E" w:rsidRDefault="0074024E" w:rsidP="00D46DA4">
      <w:pPr>
        <w:spacing w:line="240" w:lineRule="auto"/>
      </w:pPr>
    </w:p>
    <w:p w:rsidR="0074024E" w:rsidRDefault="0074024E" w:rsidP="00D46DA4">
      <w:pPr>
        <w:spacing w:line="240" w:lineRule="auto"/>
      </w:pPr>
    </w:p>
    <w:p w:rsidR="00D46DA4" w:rsidRDefault="00D46DA4" w:rsidP="00D46DA4">
      <w:pPr>
        <w:spacing w:line="240" w:lineRule="auto"/>
      </w:pPr>
      <w:r>
        <w:t>Using the equations</w:t>
      </w:r>
    </w:p>
    <w:p w:rsidR="00D46DA4" w:rsidRPr="00D46DA4" w:rsidRDefault="00D46DA4" w:rsidP="00D46DA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Specificity=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3 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33</m:t>
              </m:r>
            </m:num>
            <m:den>
              <m:r>
                <w:rPr>
                  <w:rFonts w:ascii="Cambria Math" w:hAnsi="Cambria Math"/>
                </w:rPr>
                <m:t>44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D46DA4" w:rsidRPr="000B36FD" w:rsidRDefault="00D46DA4" w:rsidP="00D46DA4">
      <w:pPr>
        <w:rPr>
          <w:rFonts w:eastAsiaTheme="minorEastAsia"/>
        </w:rPr>
      </w:pPr>
    </w:p>
    <w:p w:rsidR="00D46DA4" w:rsidRPr="00883905" w:rsidRDefault="00D46DA4" w:rsidP="00D46DA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Sensitivity=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9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9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44</m:t>
              </m:r>
            </m:num>
            <m:den>
              <m:r>
                <w:rPr>
                  <w:rFonts w:ascii="Cambria Math" w:hAnsi="Cambria Math"/>
                </w:rPr>
                <m:t>55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D46DA4" w:rsidRDefault="00D46DA4" w:rsidP="008758B4"/>
    <w:p w:rsidR="0074024E" w:rsidRDefault="0074024E" w:rsidP="008758B4"/>
    <w:p w:rsidR="00A3710C" w:rsidRDefault="0074024E" w:rsidP="008758B4">
      <w:r>
        <w:t xml:space="preserve">Here’s another example using </w:t>
      </w:r>
      <w:r w:rsidR="00127599">
        <w:t xml:space="preserve">data from a published </w:t>
      </w:r>
      <w:hyperlink r:id="rId11" w:history="1">
        <w:r w:rsidR="00127599" w:rsidRPr="00127599">
          <w:rPr>
            <w:rStyle w:val="Hyperlink"/>
          </w:rPr>
          <w:t>study</w:t>
        </w:r>
      </w:hyperlink>
      <w:r w:rsidR="00127599">
        <w:t xml:space="preserve">. </w:t>
      </w:r>
      <w:r w:rsidR="00D82F2C">
        <w:t xml:space="preserve">It’s based on </w:t>
      </w:r>
      <w:r w:rsidR="000D6955">
        <w:t xml:space="preserve">the detection of </w:t>
      </w:r>
      <w:r w:rsidR="002C35B6">
        <w:t>left ventricular systolic dysfunction</w:t>
      </w:r>
      <w:r w:rsidR="00192B44" w:rsidRPr="00192B44">
        <w:t xml:space="preserve"> </w:t>
      </w:r>
      <w:r w:rsidR="00192B44">
        <w:t xml:space="preserve">using </w:t>
      </w:r>
      <w:r w:rsidR="00E36473">
        <w:t>N-</w:t>
      </w:r>
      <w:r w:rsidR="000B0AEC">
        <w:t>t</w:t>
      </w:r>
      <w:r w:rsidR="00E36473">
        <w:t xml:space="preserve">erminal atrial </w:t>
      </w:r>
      <w:r w:rsidR="00192B44">
        <w:t>b</w:t>
      </w:r>
      <w:r w:rsidR="00192B44" w:rsidRPr="008869DE">
        <w:t xml:space="preserve">rain </w:t>
      </w:r>
      <w:r w:rsidR="00192B44">
        <w:t>n</w:t>
      </w:r>
      <w:r w:rsidR="00192B44" w:rsidRPr="008869DE">
        <w:t xml:space="preserve">atriuretic </w:t>
      </w:r>
      <w:r w:rsidR="00192B44">
        <w:t>p</w:t>
      </w:r>
      <w:r w:rsidR="00192B44" w:rsidRPr="008869DE">
        <w:t>eptide</w:t>
      </w:r>
      <w:r w:rsidR="002C35B6">
        <w:t xml:space="preserve">. </w:t>
      </w:r>
      <w:r w:rsidR="00D82F2C">
        <w:t xml:space="preserve">For severe left ventricular dysfunction </w:t>
      </w:r>
      <w:r w:rsidR="00A3710C">
        <w:t>(n=</w:t>
      </w:r>
      <w:r w:rsidR="002064B0">
        <w:t>8</w:t>
      </w:r>
      <w:r w:rsidR="00A3710C">
        <w:t xml:space="preserve">) </w:t>
      </w:r>
      <w:r w:rsidR="00D82F2C">
        <w:t xml:space="preserve">at threshold </w:t>
      </w:r>
      <w:r w:rsidR="00E36473">
        <w:t>1.4</w:t>
      </w:r>
      <w:r w:rsidR="00D82F2C">
        <w:t xml:space="preserve"> </w:t>
      </w:r>
      <w:r w:rsidR="00E36473">
        <w:t>n</w:t>
      </w:r>
      <w:r w:rsidR="00D82F2C">
        <w:t xml:space="preserve">g/mL the NPV was </w:t>
      </w:r>
      <w:r w:rsidR="00E36473">
        <w:t>100</w:t>
      </w:r>
      <w:r w:rsidR="00A3710C">
        <w:t>%</w:t>
      </w:r>
      <w:r w:rsidR="00D82F2C">
        <w:t xml:space="preserve"> and PPV was</w:t>
      </w:r>
      <w:r w:rsidR="00E36473">
        <w:t xml:space="preserve"> 22</w:t>
      </w:r>
      <w:r w:rsidR="00A3710C">
        <w:t>%</w:t>
      </w:r>
      <w:r w:rsidR="00D82F2C">
        <w:t>.</w:t>
      </w:r>
      <w:r w:rsidR="00A3710C">
        <w:t xml:space="preserve"> Of 134 patients, </w:t>
      </w:r>
      <w:r w:rsidR="002064B0">
        <w:t>8</w:t>
      </w:r>
      <w:r w:rsidR="00A3710C">
        <w:t xml:space="preserve"> had </w:t>
      </w:r>
      <w:r w:rsidR="002064B0">
        <w:t>8</w:t>
      </w:r>
      <w:r w:rsidR="00A3710C">
        <w:t xml:space="preserve">/134 or </w:t>
      </w:r>
      <w:r w:rsidR="002064B0">
        <w:t>6</w:t>
      </w:r>
      <w:r w:rsidR="00A3710C">
        <w:t>%.</w:t>
      </w:r>
      <w:r w:rsidR="00127599">
        <w:t xml:space="preserve"> </w:t>
      </w:r>
      <w:r w:rsidR="00A3710C">
        <w:t>Using the equations above, the specificity is calculated as</w:t>
      </w:r>
    </w:p>
    <w:p w:rsidR="00D5688E" w:rsidRPr="00D5688E" w:rsidRDefault="00D5688E" w:rsidP="008758B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Sensitivity=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0.22</m:t>
              </m:r>
            </m:num>
            <m:den>
              <m:r>
                <w:rPr>
                  <w:rFonts w:ascii="Cambria Math" w:hAnsi="Cambria Math"/>
                </w:rPr>
                <m:t>0.06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1-0.06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1-1.00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-1.00×0.06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1-0.22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1-1.00</m:t>
                      </m:r>
                    </m:e>
                  </m:d>
                  <m:r>
                    <w:rPr>
                      <w:rFonts w:ascii="Cambria Math" w:hAnsi="Cambria Math"/>
                    </w:rPr>
                    <m:t>-1.00× 0.22</m:t>
                  </m:r>
                </m:den>
              </m:f>
            </m:e>
          </m:d>
          <m:r>
            <w:rPr>
              <w:rFonts w:ascii="Cambria Math" w:hAnsi="Cambria Math"/>
            </w:rPr>
            <m:t>=1.0</m:t>
          </m:r>
        </m:oMath>
      </m:oMathPara>
    </w:p>
    <w:p w:rsidR="00D5688E" w:rsidRPr="00D5688E" w:rsidRDefault="00D5688E" w:rsidP="008758B4">
      <w:pPr>
        <w:rPr>
          <w:rFonts w:eastAsiaTheme="minorEastAsia"/>
        </w:rPr>
      </w:pPr>
    </w:p>
    <w:p w:rsidR="00A3710C" w:rsidRPr="0050071A" w:rsidRDefault="00A3710C" w:rsidP="008758B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Specificity=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1.00×0.06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1-0.22</m:t>
                  </m:r>
                </m:e>
              </m:d>
              <m:r>
                <w:rPr>
                  <w:rFonts w:ascii="Cambria Math" w:hAnsi="Cambria Math"/>
                </w:rPr>
                <m:t xml:space="preserve"> -0.22×1.00(1-0.06) </m:t>
              </m:r>
            </m:num>
            <m:den>
              <m:r>
                <w:rPr>
                  <w:rFonts w:ascii="Cambria Math" w:hAnsi="Cambria Math"/>
                </w:rPr>
                <m:t>(1-0.06)(1-1.00)(1-0.22)-0.22×1.00(1-0.06)</m:t>
              </m:r>
            </m:den>
          </m:f>
          <m:r>
            <w:rPr>
              <w:rFonts w:ascii="Cambria Math" w:hAnsi="Cambria Math"/>
            </w:rPr>
            <m:t xml:space="preserve">=0.74              </m:t>
          </m:r>
        </m:oMath>
      </m:oMathPara>
    </w:p>
    <w:p w:rsidR="0050071A" w:rsidRDefault="0050071A" w:rsidP="008758B4"/>
    <w:p w:rsidR="00E72E9B" w:rsidRDefault="00E72E9B" w:rsidP="00E72E9B">
      <w:pPr>
        <w:jc w:val="center"/>
        <w:rPr>
          <w:color w:val="000000" w:themeColor="text1"/>
        </w:rPr>
      </w:pPr>
      <w:r>
        <w:rPr>
          <w:color w:val="000000" w:themeColor="text1"/>
        </w:rPr>
        <w:t>Here’s a tip….</w:t>
      </w:r>
    </w:p>
    <w:p w:rsidR="00E72E9B" w:rsidRDefault="00E72E9B" w:rsidP="00E72E9B">
      <w:pPr>
        <w:jc w:val="center"/>
        <w:rPr>
          <w:color w:val="000000" w:themeColor="text1"/>
        </w:rPr>
      </w:pPr>
    </w:p>
    <w:p w:rsidR="00E72E9B" w:rsidRDefault="00E72E9B" w:rsidP="00E72E9B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When constructing 2x2 diagnostic accuracy tables, </w:t>
      </w:r>
      <w:r>
        <w:rPr>
          <w:color w:val="000000" w:themeColor="text1"/>
        </w:rPr>
        <w:t xml:space="preserve">when both </w:t>
      </w:r>
      <w:r>
        <w:rPr>
          <w:color w:val="000000" w:themeColor="text1"/>
        </w:rPr>
        <w:t>the s</w:t>
      </w:r>
      <w:r w:rsidRPr="008869DE">
        <w:rPr>
          <w:color w:val="000000" w:themeColor="text1"/>
        </w:rPr>
        <w:t xml:space="preserve">ensitivity and specificity </w:t>
      </w:r>
      <w:r>
        <w:rPr>
          <w:color w:val="000000" w:themeColor="text1"/>
        </w:rPr>
        <w:t xml:space="preserve">are missing, you </w:t>
      </w:r>
      <w:r w:rsidRPr="008869DE">
        <w:rPr>
          <w:color w:val="000000" w:themeColor="text1"/>
        </w:rPr>
        <w:t xml:space="preserve">can be calculated </w:t>
      </w:r>
      <w:r>
        <w:rPr>
          <w:color w:val="000000" w:themeColor="text1"/>
        </w:rPr>
        <w:t xml:space="preserve">them </w:t>
      </w:r>
      <w:r w:rsidRPr="008869DE">
        <w:rPr>
          <w:color w:val="000000" w:themeColor="text1"/>
        </w:rPr>
        <w:t>from other statistics</w:t>
      </w:r>
      <w:r>
        <w:rPr>
          <w:color w:val="000000" w:themeColor="text1"/>
        </w:rPr>
        <w:t>.</w:t>
      </w:r>
    </w:p>
    <w:p w:rsidR="00C76EFD" w:rsidRDefault="00A3710C" w:rsidP="00062810">
      <w:r>
        <w:t xml:space="preserve"> </w:t>
      </w:r>
      <w:r w:rsidR="00D82F2C">
        <w:t xml:space="preserve"> </w:t>
      </w:r>
    </w:p>
    <w:p w:rsidR="0050071A" w:rsidRDefault="0050071A" w:rsidP="00A33749">
      <w:pPr>
        <w:jc w:val="left"/>
        <w:rPr>
          <w:szCs w:val="24"/>
        </w:rPr>
      </w:pPr>
    </w:p>
    <w:p w:rsidR="0074024E" w:rsidRDefault="0050071A" w:rsidP="00A33749">
      <w:pPr>
        <w:jc w:val="left"/>
        <w:rPr>
          <w:rFonts w:asciiTheme="majorHAnsi" w:eastAsiaTheme="majorEastAsia" w:hAnsiTheme="majorHAnsi" w:cstheme="majorBidi"/>
          <w:szCs w:val="24"/>
        </w:rPr>
      </w:pPr>
      <w:r>
        <w:rPr>
          <w:szCs w:val="24"/>
        </w:rPr>
        <w:t>In my next se</w:t>
      </w:r>
      <w:r>
        <w:rPr>
          <w:szCs w:val="24"/>
        </w:rPr>
        <w:t>t</w:t>
      </w:r>
      <w:r>
        <w:rPr>
          <w:szCs w:val="24"/>
        </w:rPr>
        <w:t xml:space="preserve"> of </w:t>
      </w:r>
      <w:r>
        <w:rPr>
          <w:szCs w:val="24"/>
        </w:rPr>
        <w:t>tips will focus on some common and less common data extraction problems in</w:t>
      </w:r>
      <w:r>
        <w:rPr>
          <w:szCs w:val="24"/>
        </w:rPr>
        <w:t xml:space="preserve"> intervention studies</w:t>
      </w:r>
      <w:r>
        <w:rPr>
          <w:szCs w:val="24"/>
        </w:rPr>
        <w:t>. I will show you what you can do when you</w:t>
      </w:r>
      <w:r>
        <w:rPr>
          <w:szCs w:val="24"/>
        </w:rPr>
        <w:t xml:space="preserve"> have a missing mean, standard deviations or sample size.</w:t>
      </w:r>
    </w:p>
    <w:p w:rsidR="0050071A" w:rsidRDefault="0050071A" w:rsidP="00A33749">
      <w:pPr>
        <w:jc w:val="left"/>
        <w:rPr>
          <w:rFonts w:asciiTheme="majorHAnsi" w:eastAsiaTheme="majorEastAsia" w:hAnsiTheme="majorHAnsi" w:cstheme="majorBidi"/>
          <w:szCs w:val="24"/>
        </w:rPr>
      </w:pPr>
    </w:p>
    <w:p w:rsidR="0050071A" w:rsidRPr="0050071A" w:rsidRDefault="0050071A" w:rsidP="00A33749">
      <w:pPr>
        <w:jc w:val="left"/>
        <w:rPr>
          <w:rFonts w:asciiTheme="majorHAnsi" w:eastAsiaTheme="majorEastAsia" w:hAnsiTheme="majorHAnsi" w:cstheme="majorBidi"/>
          <w:szCs w:val="24"/>
        </w:rPr>
      </w:pPr>
    </w:p>
    <w:p w:rsidR="00F364DA" w:rsidRPr="006F7E41" w:rsidRDefault="00F364DA" w:rsidP="00A33749">
      <w:pPr>
        <w:jc w:val="left"/>
        <w:rPr>
          <w:rFonts w:asciiTheme="majorHAnsi" w:eastAsiaTheme="majorEastAsia" w:hAnsiTheme="majorHAnsi" w:cstheme="majorBidi"/>
          <w:b/>
          <w:szCs w:val="24"/>
        </w:rPr>
      </w:pPr>
      <w:r w:rsidRPr="006F7E41">
        <w:rPr>
          <w:rFonts w:asciiTheme="majorHAnsi" w:eastAsiaTheme="majorEastAsia" w:hAnsiTheme="majorHAnsi" w:cstheme="majorBidi"/>
          <w:b/>
          <w:szCs w:val="24"/>
        </w:rPr>
        <w:t>Where d</w:t>
      </w:r>
      <w:r w:rsidR="00062810" w:rsidRPr="006F7E41">
        <w:rPr>
          <w:rFonts w:asciiTheme="majorHAnsi" w:eastAsiaTheme="majorEastAsia" w:hAnsiTheme="majorHAnsi" w:cstheme="majorBidi"/>
          <w:b/>
          <w:szCs w:val="24"/>
        </w:rPr>
        <w:t>id</w:t>
      </w:r>
      <w:r w:rsidRPr="006F7E41">
        <w:rPr>
          <w:rFonts w:asciiTheme="majorHAnsi" w:eastAsiaTheme="majorEastAsia" w:hAnsiTheme="majorHAnsi" w:cstheme="majorBidi"/>
          <w:b/>
          <w:szCs w:val="24"/>
        </w:rPr>
        <w:t xml:space="preserve"> the equation</w:t>
      </w:r>
      <w:r w:rsidR="00062810" w:rsidRPr="006F7E41">
        <w:rPr>
          <w:rFonts w:asciiTheme="majorHAnsi" w:eastAsiaTheme="majorEastAsia" w:hAnsiTheme="majorHAnsi" w:cstheme="majorBidi"/>
          <w:b/>
          <w:szCs w:val="24"/>
        </w:rPr>
        <w:t>s</w:t>
      </w:r>
      <w:r w:rsidRPr="006F7E41">
        <w:rPr>
          <w:rFonts w:asciiTheme="majorHAnsi" w:eastAsiaTheme="majorEastAsia" w:hAnsiTheme="majorHAnsi" w:cstheme="majorBidi"/>
          <w:b/>
          <w:szCs w:val="24"/>
        </w:rPr>
        <w:t xml:space="preserve"> come from?</w:t>
      </w:r>
    </w:p>
    <w:p w:rsidR="00F364DA" w:rsidRPr="006F7E41" w:rsidRDefault="00F364DA" w:rsidP="00F364DA">
      <w:pPr>
        <w:rPr>
          <w:i/>
          <w:szCs w:val="24"/>
        </w:rPr>
      </w:pPr>
      <w:r w:rsidRPr="006F7E41">
        <w:rPr>
          <w:i/>
          <w:szCs w:val="24"/>
        </w:rPr>
        <w:t>(You can skip this if you are only interested in carrying out the calculations)</w:t>
      </w:r>
    </w:p>
    <w:p w:rsidR="00062810" w:rsidRPr="00E865C7" w:rsidRDefault="00062810" w:rsidP="00F364DA">
      <w:pPr>
        <w:rPr>
          <w:szCs w:val="24"/>
        </w:rPr>
      </w:pPr>
    </w:p>
    <w:p w:rsidR="00D46DA4" w:rsidRPr="00E865C7" w:rsidRDefault="00E865C7" w:rsidP="00F364DA">
      <w:pPr>
        <w:rPr>
          <w:szCs w:val="24"/>
        </w:rPr>
      </w:pPr>
      <w:hyperlink r:id="rId12" w:history="1">
        <w:r w:rsidR="0050071A">
          <w:rPr>
            <w:rStyle w:val="Hyperlink"/>
            <w:szCs w:val="24"/>
          </w:rPr>
          <w:t>P</w:t>
        </w:r>
        <w:r w:rsidRPr="00E865C7">
          <w:rPr>
            <w:rStyle w:val="Hyperlink"/>
            <w:szCs w:val="24"/>
          </w:rPr>
          <w:t>reviously</w:t>
        </w:r>
      </w:hyperlink>
      <w:r w:rsidRPr="00E865C7">
        <w:rPr>
          <w:szCs w:val="24"/>
        </w:rPr>
        <w:t xml:space="preserve"> </w:t>
      </w:r>
      <w:r w:rsidR="0050071A">
        <w:rPr>
          <w:szCs w:val="24"/>
        </w:rPr>
        <w:t>I gave the following equations</w:t>
      </w:r>
    </w:p>
    <w:p w:rsidR="00D46DA4" w:rsidRPr="00E865C7" w:rsidRDefault="00D46DA4" w:rsidP="00F364DA">
      <w:pPr>
        <w:rPr>
          <w:szCs w:val="24"/>
        </w:rPr>
      </w:pPr>
    </w:p>
    <w:p w:rsidR="00E865C7" w:rsidRPr="00883905" w:rsidRDefault="00E865C7" w:rsidP="00E865C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Sensitivity=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PPV 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1-Specificity</m:t>
                  </m:r>
                </m:e>
              </m:d>
              <m:r>
                <w:rPr>
                  <w:rFonts w:ascii="Cambria Math" w:hAnsi="Cambria Math"/>
                </w:rPr>
                <m:t xml:space="preserve"> ×(1-Prevalence) </m:t>
              </m:r>
            </m:num>
            <m:den>
              <m:r>
                <w:rPr>
                  <w:rFonts w:ascii="Cambria Math" w:hAnsi="Cambria Math"/>
                </w:rPr>
                <m:t>Prevalence×(1-PPV)</m:t>
              </m:r>
            </m:den>
          </m:f>
        </m:oMath>
      </m:oMathPara>
    </w:p>
    <w:p w:rsidR="00E865C7" w:rsidRPr="00D5688E" w:rsidRDefault="00F84563" w:rsidP="00D5688E">
      <w:pPr>
        <w:jc w:val="right"/>
        <w:rPr>
          <w:b/>
          <w:szCs w:val="24"/>
        </w:rPr>
      </w:pPr>
      <w:r>
        <w:rPr>
          <w:b/>
          <w:szCs w:val="24"/>
        </w:rPr>
        <w:t>(</w:t>
      </w:r>
      <w:r w:rsidR="00D5688E" w:rsidRPr="00D5688E">
        <w:rPr>
          <w:b/>
          <w:szCs w:val="24"/>
        </w:rPr>
        <w:t>equation 1</w:t>
      </w:r>
      <w:r>
        <w:rPr>
          <w:b/>
          <w:szCs w:val="24"/>
        </w:rPr>
        <w:t>)</w:t>
      </w:r>
    </w:p>
    <w:p w:rsidR="00D5688E" w:rsidRDefault="00D5688E" w:rsidP="00F364DA">
      <w:pPr>
        <w:rPr>
          <w:szCs w:val="24"/>
        </w:rPr>
      </w:pPr>
    </w:p>
    <w:p w:rsidR="00E865C7" w:rsidRPr="00883905" w:rsidRDefault="00E865C7" w:rsidP="00E865C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Specificity=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NPV 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1-Sensitivity</m:t>
                  </m:r>
                </m:e>
              </m:d>
              <m:r>
                <w:rPr>
                  <w:rFonts w:ascii="Cambria Math" w:hAnsi="Cambria Math"/>
                </w:rPr>
                <m:t xml:space="preserve"> ×Prevalence </m:t>
              </m:r>
            </m:num>
            <m:den>
              <m:r>
                <w:rPr>
                  <w:rFonts w:ascii="Cambria Math" w:hAnsi="Cambria Math"/>
                </w:rPr>
                <m:t>(1-Prevalence) ×(1-NPV)</m:t>
              </m:r>
            </m:den>
          </m:f>
        </m:oMath>
      </m:oMathPara>
    </w:p>
    <w:p w:rsidR="00E865C7" w:rsidRPr="00D5688E" w:rsidRDefault="00F84563" w:rsidP="00D5688E">
      <w:pPr>
        <w:jc w:val="right"/>
        <w:rPr>
          <w:b/>
          <w:szCs w:val="24"/>
        </w:rPr>
      </w:pPr>
      <w:r>
        <w:rPr>
          <w:b/>
          <w:szCs w:val="24"/>
        </w:rPr>
        <w:t>(</w:t>
      </w:r>
      <w:r w:rsidR="00D5688E" w:rsidRPr="00D5688E">
        <w:rPr>
          <w:b/>
          <w:szCs w:val="24"/>
        </w:rPr>
        <w:t>equation 2</w:t>
      </w:r>
      <w:r>
        <w:rPr>
          <w:b/>
          <w:szCs w:val="24"/>
        </w:rPr>
        <w:t>)</w:t>
      </w:r>
    </w:p>
    <w:p w:rsidR="00D023F4" w:rsidRPr="00D5688E" w:rsidRDefault="00D023F4" w:rsidP="008758B4">
      <w:pPr>
        <w:rPr>
          <w:szCs w:val="24"/>
        </w:rPr>
      </w:pPr>
    </w:p>
    <w:p w:rsidR="0074024E" w:rsidRDefault="00D5688E" w:rsidP="0074024E">
      <w:pPr>
        <w:rPr>
          <w:szCs w:val="24"/>
        </w:rPr>
      </w:pPr>
      <w:r w:rsidRPr="00D5688E">
        <w:rPr>
          <w:szCs w:val="24"/>
        </w:rPr>
        <w:t>Subs</w:t>
      </w:r>
      <w:r>
        <w:rPr>
          <w:szCs w:val="24"/>
        </w:rPr>
        <w:t>tituting equation 2 into equation 1 and rearranging for Sensitivity gives</w:t>
      </w:r>
      <w:r w:rsidR="0074024E" w:rsidRPr="0074024E">
        <w:rPr>
          <w:szCs w:val="24"/>
        </w:rPr>
        <w:t xml:space="preserve"> </w:t>
      </w:r>
    </w:p>
    <w:p w:rsidR="0074024E" w:rsidRPr="00883905" w:rsidRDefault="0074024E" w:rsidP="0074024E">
      <w:pPr>
        <w:rPr>
          <w:rFonts w:eastAsiaTheme="minorEastAsia"/>
        </w:rPr>
      </w:pPr>
      <w:r>
        <w:rPr>
          <w:szCs w:val="24"/>
        </w:rPr>
        <w:tab/>
      </w:r>
      <m:oMath>
        <m: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Sensitivity=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PPV</m:t>
              </m:r>
            </m:num>
            <m:den>
              <m:r>
                <w:rPr>
                  <w:rFonts w:ascii="Cambria Math" w:hAnsi="Cambria Math"/>
                </w:rPr>
                <m:t>Prevalence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1-Prevalence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1-NPV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-NPV Prevalence 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1-PPV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1-NPV</m:t>
                      </m:r>
                    </m:e>
                  </m:d>
                  <m:r>
                    <w:rPr>
                      <w:rFonts w:ascii="Cambria Math" w:hAnsi="Cambria Math"/>
                    </w:rPr>
                    <m:t>-NPV PPV</m:t>
                  </m:r>
                </m:den>
              </m:f>
            </m:e>
          </m:d>
        </m:oMath>
      </m:oMathPara>
    </w:p>
    <w:p w:rsidR="0074024E" w:rsidRDefault="0074024E" w:rsidP="0074024E">
      <w:pPr>
        <w:tabs>
          <w:tab w:val="left" w:pos="2362"/>
        </w:tabs>
        <w:rPr>
          <w:szCs w:val="24"/>
        </w:rPr>
      </w:pPr>
    </w:p>
    <w:p w:rsidR="0074024E" w:rsidRPr="00D5688E" w:rsidRDefault="0074024E" w:rsidP="0074024E">
      <w:pPr>
        <w:rPr>
          <w:szCs w:val="24"/>
        </w:rPr>
      </w:pPr>
      <w:r>
        <w:rPr>
          <w:szCs w:val="24"/>
        </w:rPr>
        <w:t>Substituting equation 1 into equation 2 and rearranging for Specificity gives</w:t>
      </w:r>
    </w:p>
    <w:p w:rsidR="00D5688E" w:rsidRDefault="00D5688E" w:rsidP="008758B4">
      <w:pPr>
        <w:rPr>
          <w:szCs w:val="24"/>
        </w:rPr>
      </w:pPr>
    </w:p>
    <w:p w:rsidR="00D5688E" w:rsidRPr="000B36FD" w:rsidRDefault="00D5688E" w:rsidP="00D5688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Specificity=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NPV Prevalence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1-PPV</m:t>
                  </m:r>
                </m:e>
              </m:d>
              <m:r>
                <w:rPr>
                  <w:rFonts w:ascii="Cambria Math" w:hAnsi="Cambria Math"/>
                </w:rPr>
                <m:t xml:space="preserve"> -PPV NPV(1-Prevalence) 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1-Prevalence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1-NPV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1-PPV</m:t>
                  </m:r>
                </m:e>
              </m:d>
              <m:r>
                <w:rPr>
                  <w:rFonts w:ascii="Cambria Math" w:hAnsi="Cambria Math"/>
                </w:rPr>
                <m:t>-PPV NPV(1-Prevalence)</m:t>
              </m:r>
            </m:den>
          </m:f>
        </m:oMath>
      </m:oMathPara>
    </w:p>
    <w:p w:rsidR="00D5688E" w:rsidRDefault="00D5688E" w:rsidP="008758B4">
      <w:pPr>
        <w:rPr>
          <w:szCs w:val="24"/>
        </w:rPr>
      </w:pPr>
    </w:p>
    <w:p w:rsidR="00D5688E" w:rsidRDefault="00E469E9" w:rsidP="008758B4">
      <w:pPr>
        <w:rPr>
          <w:szCs w:val="24"/>
        </w:rPr>
      </w:pPr>
      <w:r>
        <w:rPr>
          <w:szCs w:val="24"/>
        </w:rPr>
        <w:t xml:space="preserve">The above equations use </w:t>
      </w:r>
      <w:r w:rsidR="0050071A">
        <w:rPr>
          <w:szCs w:val="24"/>
        </w:rPr>
        <w:t>Prevalence</w:t>
      </w:r>
      <w:r>
        <w:rPr>
          <w:szCs w:val="24"/>
        </w:rPr>
        <w:t xml:space="preserve">. I </w:t>
      </w:r>
      <w:hyperlink r:id="rId13" w:history="1">
        <w:r w:rsidRPr="00E469E9">
          <w:rPr>
            <w:rStyle w:val="Hyperlink"/>
            <w:szCs w:val="24"/>
          </w:rPr>
          <w:t>previously</w:t>
        </w:r>
      </w:hyperlink>
      <w:r>
        <w:rPr>
          <w:szCs w:val="24"/>
        </w:rPr>
        <w:t xml:space="preserve"> showed how to calculate prevalence from the total number of patients and number with the disease.</w:t>
      </w:r>
    </w:p>
    <w:p w:rsidR="00E469E9" w:rsidRPr="00D5688E" w:rsidRDefault="00E469E9" w:rsidP="008758B4">
      <w:pPr>
        <w:rPr>
          <w:szCs w:val="24"/>
        </w:rPr>
      </w:pPr>
      <w:bookmarkStart w:id="0" w:name="_GoBack"/>
      <w:bookmarkEnd w:id="0"/>
    </w:p>
    <w:p w:rsidR="007E724B" w:rsidRDefault="007E724B" w:rsidP="007E724B">
      <w:pPr>
        <w:jc w:val="left"/>
        <w:rPr>
          <w:b/>
        </w:rPr>
      </w:pPr>
      <w:r>
        <w:rPr>
          <w:b/>
        </w:rPr>
        <w:t xml:space="preserve">Dr Kathy Taylor teaches data extraction in Meta-analysis, </w:t>
      </w:r>
      <w:hyperlink r:id="rId14" w:history="1">
        <w:r w:rsidRPr="00444C0C">
          <w:rPr>
            <w:rStyle w:val="Hyperlink"/>
            <w:b/>
          </w:rPr>
          <w:t>https://www.conted.ox.ac.uk/courses/meta-analysis&lt;/link</w:t>
        </w:r>
      </w:hyperlink>
      <w:r>
        <w:rPr>
          <w:b/>
        </w:rPr>
        <w:t xml:space="preserve">&gt; This is a short course that is also available as part of our MSc in Evidence-Based Health Care </w:t>
      </w:r>
    </w:p>
    <w:p w:rsidR="007E724B" w:rsidRDefault="00E94110" w:rsidP="007E724B">
      <w:pPr>
        <w:jc w:val="left"/>
        <w:rPr>
          <w:b/>
        </w:rPr>
      </w:pPr>
      <w:hyperlink r:id="rId15" w:history="1">
        <w:r w:rsidR="007E724B" w:rsidRPr="00444C0C">
          <w:rPr>
            <w:rStyle w:val="Hyperlink"/>
            <w:b/>
          </w:rPr>
          <w:t>https://www.conted.ox.ac.uk/about/msc-in-evidence-based-health-care</w:t>
        </w:r>
      </w:hyperlink>
      <w:r w:rsidR="007E724B">
        <w:rPr>
          <w:b/>
        </w:rPr>
        <w:t xml:space="preserve">, MSc in Medical Statistics </w:t>
      </w:r>
    </w:p>
    <w:p w:rsidR="007E724B" w:rsidRDefault="00E94110" w:rsidP="007E724B">
      <w:pPr>
        <w:jc w:val="left"/>
        <w:rPr>
          <w:b/>
        </w:rPr>
      </w:pPr>
      <w:hyperlink r:id="rId16" w:history="1">
        <w:r w:rsidR="007E724B" w:rsidRPr="00444C0C">
          <w:rPr>
            <w:rStyle w:val="Hyperlink"/>
            <w:b/>
          </w:rPr>
          <w:t>https://www.conted.ox.ac.uk/about/msc-in-ebhc-medical-statistics</w:t>
        </w:r>
      </w:hyperlink>
      <w:r w:rsidR="007E724B">
        <w:rPr>
          <w:b/>
        </w:rPr>
        <w:t xml:space="preserve">, and MSc in Systematic Reviews </w:t>
      </w:r>
    </w:p>
    <w:p w:rsidR="007E724B" w:rsidRDefault="00E94110" w:rsidP="007E724B">
      <w:pPr>
        <w:jc w:val="left"/>
        <w:rPr>
          <w:b/>
        </w:rPr>
      </w:pPr>
      <w:hyperlink r:id="rId17" w:history="1">
        <w:r w:rsidR="007E724B" w:rsidRPr="00444C0C">
          <w:rPr>
            <w:rStyle w:val="Hyperlink"/>
            <w:b/>
          </w:rPr>
          <w:t>https://www.conted.ox.ac.uk/about/msc-in-ebhc-systematic-reviews</w:t>
        </w:r>
      </w:hyperlink>
    </w:p>
    <w:p w:rsidR="007E724B" w:rsidRDefault="007E724B" w:rsidP="007E724B">
      <w:pPr>
        <w:rPr>
          <w:b/>
        </w:rPr>
      </w:pPr>
    </w:p>
    <w:p w:rsidR="00F84563" w:rsidRDefault="00F84563" w:rsidP="00F84563">
      <w:r w:rsidRPr="00FF51C9">
        <w:rPr>
          <w:b/>
        </w:rPr>
        <w:t>Follow me on Twitter @dataextips for updates on my blog, related news, and to find out about other examples of statistics being made more broadly accessible.</w:t>
      </w:r>
    </w:p>
    <w:p w:rsidR="007E724B" w:rsidRPr="00430366" w:rsidRDefault="007E724B" w:rsidP="007E724B">
      <w:pPr>
        <w:rPr>
          <w:b/>
        </w:rPr>
      </w:pPr>
    </w:p>
    <w:p w:rsidR="00430366" w:rsidRPr="00430366" w:rsidRDefault="00430366" w:rsidP="008758B4">
      <w:pPr>
        <w:rPr>
          <w:b/>
        </w:rPr>
      </w:pPr>
    </w:p>
    <w:p w:rsidR="001F00A0" w:rsidRPr="001F00A0" w:rsidRDefault="001F00A0" w:rsidP="008758B4"/>
    <w:p w:rsidR="00DC4A50" w:rsidRDefault="00DC4A50" w:rsidP="00DC4A50"/>
    <w:sectPr w:rsidR="00DC4A50" w:rsidSect="00E714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60E"/>
    <w:multiLevelType w:val="hybridMultilevel"/>
    <w:tmpl w:val="FD043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58F7"/>
    <w:multiLevelType w:val="hybridMultilevel"/>
    <w:tmpl w:val="76924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A0"/>
    <w:rsid w:val="00015801"/>
    <w:rsid w:val="0003161B"/>
    <w:rsid w:val="00057479"/>
    <w:rsid w:val="00062810"/>
    <w:rsid w:val="00074E54"/>
    <w:rsid w:val="00086E87"/>
    <w:rsid w:val="000A72C7"/>
    <w:rsid w:val="000B0AEC"/>
    <w:rsid w:val="000B36FD"/>
    <w:rsid w:val="000D6955"/>
    <w:rsid w:val="000D74DF"/>
    <w:rsid w:val="0011090E"/>
    <w:rsid w:val="001125AC"/>
    <w:rsid w:val="00112F97"/>
    <w:rsid w:val="00127599"/>
    <w:rsid w:val="00144D03"/>
    <w:rsid w:val="001475B0"/>
    <w:rsid w:val="00164538"/>
    <w:rsid w:val="00192B44"/>
    <w:rsid w:val="00197F74"/>
    <w:rsid w:val="001D2354"/>
    <w:rsid w:val="001D2705"/>
    <w:rsid w:val="001D3FDB"/>
    <w:rsid w:val="001D5ED9"/>
    <w:rsid w:val="001E08C6"/>
    <w:rsid w:val="001F00A0"/>
    <w:rsid w:val="001F069E"/>
    <w:rsid w:val="0020157D"/>
    <w:rsid w:val="00204241"/>
    <w:rsid w:val="002064B0"/>
    <w:rsid w:val="0021794F"/>
    <w:rsid w:val="00226CC2"/>
    <w:rsid w:val="00257623"/>
    <w:rsid w:val="00274D67"/>
    <w:rsid w:val="00285A6D"/>
    <w:rsid w:val="002922C3"/>
    <w:rsid w:val="00296359"/>
    <w:rsid w:val="002B490F"/>
    <w:rsid w:val="002C35B6"/>
    <w:rsid w:val="002D5228"/>
    <w:rsid w:val="00305F0E"/>
    <w:rsid w:val="00314107"/>
    <w:rsid w:val="00331DBD"/>
    <w:rsid w:val="00366B67"/>
    <w:rsid w:val="0037154F"/>
    <w:rsid w:val="00380E4A"/>
    <w:rsid w:val="003B7924"/>
    <w:rsid w:val="003D5A94"/>
    <w:rsid w:val="003E34A4"/>
    <w:rsid w:val="003E68DD"/>
    <w:rsid w:val="003F2338"/>
    <w:rsid w:val="00402452"/>
    <w:rsid w:val="00430366"/>
    <w:rsid w:val="00455569"/>
    <w:rsid w:val="0046759A"/>
    <w:rsid w:val="0047759D"/>
    <w:rsid w:val="004A337A"/>
    <w:rsid w:val="004B6831"/>
    <w:rsid w:val="004D561C"/>
    <w:rsid w:val="004D57AE"/>
    <w:rsid w:val="004E0CBB"/>
    <w:rsid w:val="004E79EF"/>
    <w:rsid w:val="0050071A"/>
    <w:rsid w:val="005248F0"/>
    <w:rsid w:val="005267FD"/>
    <w:rsid w:val="00532FDC"/>
    <w:rsid w:val="005742E7"/>
    <w:rsid w:val="0059771F"/>
    <w:rsid w:val="005979A9"/>
    <w:rsid w:val="005C30F9"/>
    <w:rsid w:val="0060455E"/>
    <w:rsid w:val="00622C71"/>
    <w:rsid w:val="0063042C"/>
    <w:rsid w:val="00636A06"/>
    <w:rsid w:val="0066078D"/>
    <w:rsid w:val="0066578C"/>
    <w:rsid w:val="006679DF"/>
    <w:rsid w:val="00690B8B"/>
    <w:rsid w:val="006C1360"/>
    <w:rsid w:val="006C37E2"/>
    <w:rsid w:val="006F7E41"/>
    <w:rsid w:val="0071198B"/>
    <w:rsid w:val="00712CB5"/>
    <w:rsid w:val="00714D77"/>
    <w:rsid w:val="0074024E"/>
    <w:rsid w:val="0075048B"/>
    <w:rsid w:val="00767585"/>
    <w:rsid w:val="007E724B"/>
    <w:rsid w:val="0083438C"/>
    <w:rsid w:val="008560A2"/>
    <w:rsid w:val="008758B4"/>
    <w:rsid w:val="008819F7"/>
    <w:rsid w:val="00883905"/>
    <w:rsid w:val="0088688E"/>
    <w:rsid w:val="008869DE"/>
    <w:rsid w:val="008A16D5"/>
    <w:rsid w:val="008A740F"/>
    <w:rsid w:val="008B5F09"/>
    <w:rsid w:val="008C11B9"/>
    <w:rsid w:val="008D7A4C"/>
    <w:rsid w:val="008F5DE9"/>
    <w:rsid w:val="0090433E"/>
    <w:rsid w:val="00917C3B"/>
    <w:rsid w:val="00930913"/>
    <w:rsid w:val="009774F0"/>
    <w:rsid w:val="00982C01"/>
    <w:rsid w:val="009C0E5C"/>
    <w:rsid w:val="009D5879"/>
    <w:rsid w:val="009F6C23"/>
    <w:rsid w:val="00A33749"/>
    <w:rsid w:val="00A3710C"/>
    <w:rsid w:val="00A40425"/>
    <w:rsid w:val="00A8019C"/>
    <w:rsid w:val="00A97F28"/>
    <w:rsid w:val="00AC7E49"/>
    <w:rsid w:val="00AE2912"/>
    <w:rsid w:val="00B2191C"/>
    <w:rsid w:val="00B2439B"/>
    <w:rsid w:val="00B51F4F"/>
    <w:rsid w:val="00B6234D"/>
    <w:rsid w:val="00B749EC"/>
    <w:rsid w:val="00B90118"/>
    <w:rsid w:val="00BA6097"/>
    <w:rsid w:val="00BB7CA2"/>
    <w:rsid w:val="00BC2B4B"/>
    <w:rsid w:val="00C51FFD"/>
    <w:rsid w:val="00C74642"/>
    <w:rsid w:val="00C76EFD"/>
    <w:rsid w:val="00C866A5"/>
    <w:rsid w:val="00CC1727"/>
    <w:rsid w:val="00CF53D0"/>
    <w:rsid w:val="00D023F4"/>
    <w:rsid w:val="00D2166C"/>
    <w:rsid w:val="00D21D1F"/>
    <w:rsid w:val="00D32D70"/>
    <w:rsid w:val="00D419BC"/>
    <w:rsid w:val="00D46DA4"/>
    <w:rsid w:val="00D5688E"/>
    <w:rsid w:val="00D608CB"/>
    <w:rsid w:val="00D63C0C"/>
    <w:rsid w:val="00D82F2C"/>
    <w:rsid w:val="00D957C9"/>
    <w:rsid w:val="00DB042F"/>
    <w:rsid w:val="00DC4A50"/>
    <w:rsid w:val="00DE1F65"/>
    <w:rsid w:val="00DF3958"/>
    <w:rsid w:val="00E0240E"/>
    <w:rsid w:val="00E13122"/>
    <w:rsid w:val="00E167C2"/>
    <w:rsid w:val="00E36473"/>
    <w:rsid w:val="00E469E9"/>
    <w:rsid w:val="00E54708"/>
    <w:rsid w:val="00E5694E"/>
    <w:rsid w:val="00E62334"/>
    <w:rsid w:val="00E6300E"/>
    <w:rsid w:val="00E66B39"/>
    <w:rsid w:val="00E678D1"/>
    <w:rsid w:val="00E7123C"/>
    <w:rsid w:val="00E71487"/>
    <w:rsid w:val="00E72E9B"/>
    <w:rsid w:val="00E865C7"/>
    <w:rsid w:val="00E94110"/>
    <w:rsid w:val="00E97064"/>
    <w:rsid w:val="00EC6845"/>
    <w:rsid w:val="00F364DA"/>
    <w:rsid w:val="00F60CB7"/>
    <w:rsid w:val="00F770EF"/>
    <w:rsid w:val="00F84563"/>
    <w:rsid w:val="00FB2ECB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EEF582"/>
  <w15:chartTrackingRefBased/>
  <w15:docId w15:val="{F1F27753-ED5F-4A39-AABA-FA9F8541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0A0"/>
    <w:pPr>
      <w:spacing w:after="0" w:line="300" w:lineRule="auto"/>
      <w:jc w:val="both"/>
    </w:pPr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00A0"/>
    <w:pPr>
      <w:keepNext/>
      <w:keepLines/>
      <w:outlineLvl w:val="1"/>
    </w:pPr>
    <w:rPr>
      <w:rFonts w:asciiTheme="majorHAnsi" w:eastAsiaTheme="majorEastAsia" w:hAnsiTheme="majorHAnsi" w:cstheme="majorBidi"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pcode">
    <w:name w:val="Compcode"/>
    <w:basedOn w:val="DefaultParagraphFont"/>
    <w:uiPriority w:val="1"/>
    <w:qFormat/>
    <w:rsid w:val="00112F97"/>
    <w:rPr>
      <w:rFonts w:ascii="Courier New" w:hAnsi="Courier New"/>
    </w:rPr>
  </w:style>
  <w:style w:type="character" w:customStyle="1" w:styleId="Heading2Char">
    <w:name w:val="Heading 2 Char"/>
    <w:basedOn w:val="DefaultParagraphFont"/>
    <w:link w:val="Heading2"/>
    <w:uiPriority w:val="9"/>
    <w:rsid w:val="001F00A0"/>
    <w:rPr>
      <w:rFonts w:asciiTheme="majorHAnsi" w:eastAsiaTheme="majorEastAsia" w:hAnsiTheme="majorHAnsi" w:cstheme="majorBidi"/>
      <w:i/>
      <w:sz w:val="26"/>
      <w:szCs w:val="26"/>
    </w:rPr>
  </w:style>
  <w:style w:type="table" w:styleId="TableGrid">
    <w:name w:val="Table Grid"/>
    <w:basedOn w:val="TableNormal"/>
    <w:uiPriority w:val="39"/>
    <w:rsid w:val="001F00A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67FD"/>
    <w:rPr>
      <w:color w:val="808080"/>
    </w:rPr>
  </w:style>
  <w:style w:type="paragraph" w:styleId="ListParagraph">
    <w:name w:val="List Paragraph"/>
    <w:basedOn w:val="Normal"/>
    <w:uiPriority w:val="34"/>
    <w:qFormat/>
    <w:rsid w:val="00524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87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364D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E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4E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bm.net/2019/02/tip-for-data-extraction-in-meta-analysis-2/" TargetMode="External"/><Relationship Id="rId13" Type="http://schemas.openxmlformats.org/officeDocument/2006/relationships/hyperlink" Target="https://bit.ly/2Eut6m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t.ly/2GCH5bp" TargetMode="External"/><Relationship Id="rId12" Type="http://schemas.openxmlformats.org/officeDocument/2006/relationships/hyperlink" Target="https://bit.ly/2VLlUIN" TargetMode="External"/><Relationship Id="rId17" Type="http://schemas.openxmlformats.org/officeDocument/2006/relationships/hyperlink" Target="https://www.conted.ox.ac.uk/about/msc-in-ebhc-systematic-revi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ted.ox.ac.uk/about/msc-in-ebhc-medical-statistic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ncbi.nlm.nih.gov/pubmed/97126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ted.ox.ac.uk/about/msc-in-evidence-based-health-care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2VLlUIN" TargetMode="External"/><Relationship Id="rId14" Type="http://schemas.openxmlformats.org/officeDocument/2006/relationships/hyperlink" Target="https://www.conted.ox.ac.uk/courses/meta-analysis%3c/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05DC908-2DD8-4948-9806-ACAD8D4A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Stevens</dc:creator>
  <cp:keywords/>
  <dc:description/>
  <cp:lastModifiedBy>Kathryn Taylor</cp:lastModifiedBy>
  <cp:revision>5</cp:revision>
  <cp:lastPrinted>2019-10-28T09:09:00Z</cp:lastPrinted>
  <dcterms:created xsi:type="dcterms:W3CDTF">2019-11-03T11:14:00Z</dcterms:created>
  <dcterms:modified xsi:type="dcterms:W3CDTF">2019-11-03T11:34:00Z</dcterms:modified>
</cp:coreProperties>
</file>